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10BF2" w14:textId="77777777" w:rsidR="0015651D" w:rsidRPr="0015651D" w:rsidRDefault="0015651D" w:rsidP="0015651D">
      <w:pPr>
        <w:jc w:val="center"/>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15651D">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p w14:paraId="2CE09F02" w14:textId="77777777" w:rsidR="0015651D" w:rsidRDefault="0015651D" w:rsidP="0015651D">
      <w:pPr>
        <w:jc w:val="center"/>
      </w:pPr>
    </w:p>
    <w:p w14:paraId="3E222EEC" w14:textId="13053B07" w:rsidR="00967145" w:rsidRPr="000740A7" w:rsidRDefault="00967145" w:rsidP="00967145">
      <w:pPr>
        <w:spacing w:after="0" w:line="240" w:lineRule="auto"/>
        <w:jc w:val="center"/>
        <w:rPr>
          <w:rFonts w:cs="Aptos"/>
          <w:kern w:val="0"/>
          <w:sz w:val="24"/>
          <w:szCs w:val="24"/>
        </w:rPr>
      </w:pPr>
      <w:r w:rsidRPr="000740A7">
        <w:rPr>
          <w:rFonts w:cs="Aptos"/>
          <w:kern w:val="0"/>
          <w:sz w:val="24"/>
          <w:szCs w:val="24"/>
        </w:rPr>
        <w:t>The Murray County Commissioner will hold a public meeting at the Murray County Annex Hearing Room, located at 121 N. 4</w:t>
      </w:r>
      <w:r w:rsidRPr="000740A7">
        <w:rPr>
          <w:rFonts w:cs="Aptos"/>
          <w:kern w:val="0"/>
          <w:sz w:val="24"/>
          <w:szCs w:val="24"/>
          <w:vertAlign w:val="superscript"/>
        </w:rPr>
        <w:t>th</w:t>
      </w:r>
      <w:r w:rsidRPr="000740A7">
        <w:rPr>
          <w:rFonts w:cs="Aptos"/>
          <w:kern w:val="0"/>
          <w:sz w:val="24"/>
          <w:szCs w:val="24"/>
        </w:rPr>
        <w:t xml:space="preserve"> Ave. Chatsworth, GA </w:t>
      </w:r>
      <w:r w:rsidR="000740A7" w:rsidRPr="000740A7">
        <w:rPr>
          <w:rFonts w:cs="Aptos"/>
          <w:kern w:val="0"/>
          <w:sz w:val="24"/>
          <w:szCs w:val="24"/>
        </w:rPr>
        <w:t>1</w:t>
      </w:r>
      <w:r w:rsidRPr="000740A7">
        <w:rPr>
          <w:rFonts w:cs="Aptos"/>
          <w:kern w:val="0"/>
          <w:sz w:val="24"/>
          <w:szCs w:val="24"/>
        </w:rPr>
        <w:t>:</w:t>
      </w:r>
      <w:r w:rsidR="000740A7" w:rsidRPr="000740A7">
        <w:rPr>
          <w:rFonts w:cs="Aptos"/>
          <w:kern w:val="0"/>
          <w:sz w:val="24"/>
          <w:szCs w:val="24"/>
        </w:rPr>
        <w:t>3</w:t>
      </w:r>
      <w:r w:rsidRPr="000740A7">
        <w:rPr>
          <w:rFonts w:cs="Aptos"/>
          <w:kern w:val="0"/>
          <w:sz w:val="24"/>
          <w:szCs w:val="24"/>
        </w:rPr>
        <w:t xml:space="preserve">0 </w:t>
      </w:r>
      <w:r w:rsidR="000740A7" w:rsidRPr="000740A7">
        <w:rPr>
          <w:rFonts w:cs="Aptos"/>
          <w:kern w:val="0"/>
          <w:sz w:val="24"/>
          <w:szCs w:val="24"/>
        </w:rPr>
        <w:t>PM</w:t>
      </w:r>
      <w:r w:rsidRPr="000740A7">
        <w:rPr>
          <w:rFonts w:cs="Aptos"/>
          <w:kern w:val="0"/>
          <w:sz w:val="24"/>
          <w:szCs w:val="24"/>
        </w:rPr>
        <w:t xml:space="preserve"> (Eastern Standard Time) on  </w:t>
      </w:r>
      <w:r w:rsidR="000740A7" w:rsidRPr="000740A7">
        <w:rPr>
          <w:rFonts w:cs="Aptos"/>
          <w:kern w:val="0"/>
          <w:sz w:val="24"/>
          <w:szCs w:val="24"/>
        </w:rPr>
        <w:t>December 18</w:t>
      </w:r>
      <w:r w:rsidRPr="000740A7">
        <w:rPr>
          <w:rFonts w:cs="Aptos"/>
          <w:kern w:val="0"/>
          <w:sz w:val="24"/>
          <w:szCs w:val="24"/>
        </w:rPr>
        <w:t>, 2024, to accept and open sealed bids/proposals for the project listed below. The public is invited and encouraged to attend.</w:t>
      </w:r>
    </w:p>
    <w:p w14:paraId="406ED778" w14:textId="77777777" w:rsidR="00967145" w:rsidRPr="000740A7" w:rsidRDefault="00967145" w:rsidP="00967145">
      <w:pPr>
        <w:spacing w:after="0" w:line="240" w:lineRule="auto"/>
        <w:jc w:val="center"/>
        <w:rPr>
          <w:rFonts w:cs="Aptos"/>
          <w:kern w:val="0"/>
          <w:sz w:val="24"/>
          <w:szCs w:val="24"/>
        </w:rPr>
      </w:pPr>
    </w:p>
    <w:p w14:paraId="1DA513E4" w14:textId="77777777" w:rsidR="00967145" w:rsidRDefault="00967145" w:rsidP="00967145">
      <w:pPr>
        <w:jc w:val="center"/>
        <w:rPr>
          <w:sz w:val="24"/>
          <w:szCs w:val="24"/>
        </w:rPr>
      </w:pPr>
    </w:p>
    <w:p w14:paraId="4E99F374" w14:textId="77777777" w:rsidR="000740A7" w:rsidRPr="000740A7" w:rsidRDefault="000740A7" w:rsidP="00967145">
      <w:pPr>
        <w:jc w:val="center"/>
        <w:rPr>
          <w:sz w:val="24"/>
          <w:szCs w:val="24"/>
        </w:rPr>
      </w:pPr>
    </w:p>
    <w:p w14:paraId="5DE4F002" w14:textId="77777777" w:rsidR="00967145" w:rsidRPr="000740A7" w:rsidRDefault="00967145" w:rsidP="00967145">
      <w:pPr>
        <w:keepNext/>
        <w:numPr>
          <w:ilvl w:val="0"/>
          <w:numId w:val="1"/>
        </w:numPr>
        <w:spacing w:after="0" w:line="240" w:lineRule="auto"/>
        <w:jc w:val="both"/>
        <w:outlineLvl w:val="1"/>
        <w:rPr>
          <w:rFonts w:eastAsiaTheme="majorEastAsia" w:cstheme="majorBidi"/>
          <w:sz w:val="24"/>
          <w:szCs w:val="24"/>
        </w:rPr>
      </w:pPr>
      <w:r w:rsidRPr="000740A7">
        <w:rPr>
          <w:rFonts w:eastAsiaTheme="majorEastAsia" w:cstheme="majorBidi"/>
          <w:sz w:val="24"/>
          <w:szCs w:val="24"/>
        </w:rPr>
        <w:t>Call to Order</w:t>
      </w:r>
    </w:p>
    <w:p w14:paraId="32D8634E" w14:textId="77777777" w:rsidR="00967145" w:rsidRPr="000740A7" w:rsidRDefault="00967145" w:rsidP="00967145">
      <w:pPr>
        <w:numPr>
          <w:ilvl w:val="0"/>
          <w:numId w:val="1"/>
        </w:numPr>
        <w:spacing w:after="0" w:line="240" w:lineRule="auto"/>
        <w:rPr>
          <w:sz w:val="24"/>
          <w:szCs w:val="24"/>
        </w:rPr>
      </w:pPr>
      <w:r w:rsidRPr="000740A7">
        <w:rPr>
          <w:sz w:val="24"/>
          <w:szCs w:val="24"/>
        </w:rPr>
        <w:t>Approval of Agenda</w:t>
      </w:r>
    </w:p>
    <w:p w14:paraId="3266745D" w14:textId="77777777" w:rsidR="00967145" w:rsidRPr="000740A7" w:rsidRDefault="00967145" w:rsidP="00967145">
      <w:pPr>
        <w:numPr>
          <w:ilvl w:val="0"/>
          <w:numId w:val="1"/>
        </w:numPr>
        <w:spacing w:after="0" w:line="240" w:lineRule="auto"/>
        <w:rPr>
          <w:sz w:val="24"/>
          <w:szCs w:val="24"/>
        </w:rPr>
      </w:pPr>
      <w:r w:rsidRPr="000740A7">
        <w:rPr>
          <w:sz w:val="24"/>
          <w:szCs w:val="24"/>
        </w:rPr>
        <w:t>New Business</w:t>
      </w:r>
    </w:p>
    <w:p w14:paraId="0CFDA428" w14:textId="77777777" w:rsidR="00967145" w:rsidRPr="000740A7" w:rsidRDefault="00967145" w:rsidP="00967145">
      <w:pPr>
        <w:spacing w:after="0" w:line="240" w:lineRule="auto"/>
        <w:rPr>
          <w:sz w:val="24"/>
          <w:szCs w:val="24"/>
        </w:rPr>
      </w:pPr>
    </w:p>
    <w:p w14:paraId="089D2AFB" w14:textId="77777777" w:rsidR="00967145" w:rsidRPr="000740A7" w:rsidRDefault="00967145" w:rsidP="00967145">
      <w:pPr>
        <w:spacing w:after="0" w:line="240" w:lineRule="auto"/>
        <w:rPr>
          <w:sz w:val="24"/>
          <w:szCs w:val="24"/>
        </w:rPr>
      </w:pPr>
    </w:p>
    <w:p w14:paraId="16D6A80A" w14:textId="77777777" w:rsidR="00967145" w:rsidRDefault="00967145" w:rsidP="00967145">
      <w:pPr>
        <w:spacing w:after="0" w:line="240" w:lineRule="auto"/>
        <w:rPr>
          <w:sz w:val="24"/>
          <w:szCs w:val="24"/>
        </w:rPr>
      </w:pPr>
    </w:p>
    <w:p w14:paraId="1DB82E8C" w14:textId="77777777" w:rsidR="000740A7" w:rsidRPr="000740A7" w:rsidRDefault="000740A7" w:rsidP="00967145">
      <w:pPr>
        <w:spacing w:after="0" w:line="240" w:lineRule="auto"/>
        <w:rPr>
          <w:sz w:val="24"/>
          <w:szCs w:val="24"/>
        </w:rPr>
      </w:pPr>
    </w:p>
    <w:p w14:paraId="18A399B9" w14:textId="624A605F" w:rsidR="00967145" w:rsidRPr="000740A7" w:rsidRDefault="000740A7" w:rsidP="000740A7">
      <w:pPr>
        <w:spacing w:after="0" w:line="240" w:lineRule="auto"/>
        <w:jc w:val="center"/>
        <w:rPr>
          <w:rFonts w:cs="Aptos"/>
          <w:b/>
          <w:bCs/>
          <w:kern w:val="0"/>
          <w:sz w:val="24"/>
          <w:szCs w:val="24"/>
        </w:rPr>
      </w:pPr>
      <w:r w:rsidRPr="000740A7">
        <w:rPr>
          <w:rFonts w:cs="Aptos"/>
          <w:b/>
          <w:bCs/>
          <w:kern w:val="0"/>
          <w:sz w:val="24"/>
          <w:szCs w:val="24"/>
        </w:rPr>
        <w:t>2024 DENNIS MILL BRIDGE REPLACEMENT PROJECT</w:t>
      </w:r>
    </w:p>
    <w:p w14:paraId="21FF7C34" w14:textId="77777777" w:rsidR="000740A7" w:rsidRPr="000740A7" w:rsidRDefault="000740A7" w:rsidP="00967145">
      <w:pPr>
        <w:spacing w:after="0" w:line="240" w:lineRule="auto"/>
        <w:rPr>
          <w:rFonts w:cs="Aptos"/>
          <w:kern w:val="0"/>
          <w:sz w:val="24"/>
          <w:szCs w:val="24"/>
        </w:rPr>
      </w:pPr>
    </w:p>
    <w:p w14:paraId="10FB9AEC" w14:textId="12699804" w:rsidR="00967145" w:rsidRPr="000740A7" w:rsidRDefault="000740A7" w:rsidP="000740A7">
      <w:pPr>
        <w:pStyle w:val="ListParagraph"/>
        <w:numPr>
          <w:ilvl w:val="0"/>
          <w:numId w:val="3"/>
        </w:numPr>
        <w:spacing w:after="0" w:line="240" w:lineRule="auto"/>
        <w:rPr>
          <w:rFonts w:cs="Aptos"/>
          <w:kern w:val="0"/>
          <w:sz w:val="24"/>
          <w:szCs w:val="24"/>
        </w:rPr>
      </w:pPr>
      <w:r w:rsidRPr="000740A7">
        <w:rPr>
          <w:rFonts w:cs="Aptos"/>
          <w:kern w:val="0"/>
          <w:sz w:val="24"/>
          <w:szCs w:val="24"/>
        </w:rPr>
        <w:t xml:space="preserve">Provide replacement of the existing bridge, bridge abutments and roadway   approaches located on the Dennis Mill at Rock Creek </w:t>
      </w:r>
      <w:r w:rsidR="00967145" w:rsidRPr="000740A7">
        <w:rPr>
          <w:rFonts w:cs="Aptos"/>
          <w:kern w:val="0"/>
          <w:sz w:val="24"/>
          <w:szCs w:val="24"/>
        </w:rPr>
        <w:t xml:space="preserve"> </w:t>
      </w:r>
    </w:p>
    <w:p w14:paraId="1F731B7D" w14:textId="77777777" w:rsidR="00967145" w:rsidRPr="000740A7" w:rsidRDefault="00967145" w:rsidP="00967145">
      <w:pPr>
        <w:spacing w:after="0" w:line="240" w:lineRule="auto"/>
        <w:rPr>
          <w:rFonts w:cs="Aptos"/>
          <w:kern w:val="0"/>
          <w:sz w:val="24"/>
          <w:szCs w:val="24"/>
        </w:rPr>
      </w:pPr>
    </w:p>
    <w:p w14:paraId="1DB2EE50" w14:textId="77777777" w:rsidR="00967145" w:rsidRPr="000740A7" w:rsidRDefault="00967145" w:rsidP="00967145">
      <w:pPr>
        <w:rPr>
          <w:rFonts w:cs="Aptos"/>
          <w:kern w:val="0"/>
          <w:sz w:val="24"/>
          <w:szCs w:val="24"/>
        </w:rPr>
      </w:pPr>
    </w:p>
    <w:p w14:paraId="60C4E7F3" w14:textId="77777777" w:rsidR="00967145" w:rsidRPr="000740A7" w:rsidRDefault="00967145" w:rsidP="00967145">
      <w:pPr>
        <w:pStyle w:val="BodyTextIndent2"/>
        <w:ind w:left="0" w:firstLine="720"/>
        <w:rPr>
          <w:rFonts w:asciiTheme="minorHAnsi" w:hAnsiTheme="minorHAnsi"/>
          <w:sz w:val="24"/>
          <w:szCs w:val="24"/>
        </w:rPr>
      </w:pPr>
    </w:p>
    <w:p w14:paraId="19B376BE" w14:textId="1A8E50F8" w:rsidR="00967145" w:rsidRPr="000740A7" w:rsidRDefault="00967145" w:rsidP="00967145">
      <w:pPr>
        <w:pStyle w:val="BodyTextIndent2"/>
        <w:ind w:left="0" w:firstLine="720"/>
        <w:rPr>
          <w:rFonts w:asciiTheme="minorHAnsi" w:hAnsiTheme="minorHAnsi"/>
          <w:sz w:val="24"/>
          <w:szCs w:val="24"/>
        </w:rPr>
      </w:pPr>
      <w:r w:rsidRPr="000740A7">
        <w:rPr>
          <w:rFonts w:asciiTheme="minorHAnsi" w:hAnsiTheme="minorHAnsi"/>
          <w:sz w:val="24"/>
          <w:szCs w:val="24"/>
        </w:rPr>
        <w:t>Adjourn</w:t>
      </w:r>
    </w:p>
    <w:p w14:paraId="7F24D8B4" w14:textId="77777777" w:rsidR="00967145" w:rsidRPr="000740A7" w:rsidRDefault="00967145" w:rsidP="00967145">
      <w:pPr>
        <w:pStyle w:val="BodyTextIndent2"/>
        <w:ind w:left="0" w:firstLine="720"/>
        <w:rPr>
          <w:rFonts w:asciiTheme="minorHAnsi" w:hAnsiTheme="minorHAnsi"/>
          <w:sz w:val="24"/>
          <w:szCs w:val="24"/>
        </w:rPr>
      </w:pPr>
    </w:p>
    <w:p w14:paraId="14DF263A" w14:textId="77777777" w:rsidR="00967145" w:rsidRDefault="00967145" w:rsidP="00967145">
      <w:pPr>
        <w:pStyle w:val="BodyTextIndent2"/>
        <w:ind w:left="0" w:firstLine="720"/>
        <w:rPr>
          <w:rFonts w:asciiTheme="minorHAnsi" w:hAnsiTheme="minorHAnsi"/>
          <w:sz w:val="24"/>
          <w:szCs w:val="24"/>
        </w:rPr>
      </w:pPr>
      <w:r w:rsidRPr="000740A7">
        <w:rPr>
          <w:rFonts w:asciiTheme="minorHAnsi" w:hAnsiTheme="minorHAnsi"/>
          <w:sz w:val="24"/>
          <w:szCs w:val="24"/>
        </w:rPr>
        <w:t xml:space="preserve">Commissioner Available for Questions or Comments </w:t>
      </w:r>
    </w:p>
    <w:p w14:paraId="1C31D1D3" w14:textId="77777777" w:rsidR="000740A7" w:rsidRDefault="000740A7" w:rsidP="00967145">
      <w:pPr>
        <w:pStyle w:val="BodyTextIndent2"/>
        <w:ind w:left="0" w:firstLine="720"/>
        <w:rPr>
          <w:rFonts w:asciiTheme="minorHAnsi" w:hAnsiTheme="minorHAnsi"/>
          <w:sz w:val="24"/>
          <w:szCs w:val="24"/>
        </w:rPr>
      </w:pPr>
    </w:p>
    <w:p w14:paraId="6AB88484" w14:textId="77777777" w:rsidR="000740A7" w:rsidRDefault="000740A7" w:rsidP="00967145">
      <w:pPr>
        <w:pStyle w:val="BodyTextIndent2"/>
        <w:ind w:left="0" w:firstLine="720"/>
        <w:rPr>
          <w:rFonts w:asciiTheme="minorHAnsi" w:hAnsiTheme="minorHAnsi"/>
          <w:sz w:val="24"/>
          <w:szCs w:val="24"/>
        </w:rPr>
      </w:pPr>
    </w:p>
    <w:p w14:paraId="51DCF4C6" w14:textId="77777777" w:rsidR="000740A7" w:rsidRDefault="000740A7" w:rsidP="00967145">
      <w:pPr>
        <w:pStyle w:val="BodyTextIndent2"/>
        <w:ind w:left="0" w:firstLine="720"/>
        <w:rPr>
          <w:rFonts w:asciiTheme="minorHAnsi" w:hAnsiTheme="minorHAnsi"/>
          <w:sz w:val="24"/>
          <w:szCs w:val="24"/>
        </w:rPr>
      </w:pPr>
    </w:p>
    <w:p w14:paraId="3E44A1DB" w14:textId="77777777" w:rsidR="000740A7" w:rsidRDefault="000740A7" w:rsidP="00967145">
      <w:pPr>
        <w:pStyle w:val="BodyTextIndent2"/>
        <w:ind w:left="0" w:firstLine="720"/>
        <w:rPr>
          <w:rFonts w:asciiTheme="minorHAnsi" w:hAnsiTheme="minorHAnsi"/>
          <w:sz w:val="24"/>
          <w:szCs w:val="24"/>
        </w:rPr>
      </w:pPr>
    </w:p>
    <w:p w14:paraId="7041DDCF" w14:textId="77777777" w:rsidR="000740A7" w:rsidRDefault="000740A7" w:rsidP="00967145">
      <w:pPr>
        <w:pStyle w:val="BodyTextIndent2"/>
        <w:ind w:left="0" w:firstLine="720"/>
        <w:rPr>
          <w:rFonts w:asciiTheme="minorHAnsi" w:hAnsiTheme="minorHAnsi"/>
          <w:sz w:val="24"/>
          <w:szCs w:val="24"/>
        </w:rPr>
      </w:pPr>
    </w:p>
    <w:p w14:paraId="6A897A38" w14:textId="77777777" w:rsidR="000740A7" w:rsidRDefault="000740A7" w:rsidP="000740A7">
      <w:pPr>
        <w:pStyle w:val="BodyTextIndent2"/>
        <w:rPr>
          <w:rFonts w:asciiTheme="minorHAnsi" w:hAnsiTheme="minorHAnsi"/>
          <w:sz w:val="24"/>
          <w:szCs w:val="24"/>
        </w:rPr>
      </w:pPr>
    </w:p>
    <w:p w14:paraId="081EA0EC" w14:textId="77777777" w:rsidR="000740A7" w:rsidRDefault="000740A7" w:rsidP="00967145">
      <w:pPr>
        <w:pStyle w:val="BodyTextIndent2"/>
        <w:ind w:left="0" w:firstLine="720"/>
        <w:rPr>
          <w:rFonts w:asciiTheme="minorHAnsi" w:hAnsiTheme="minorHAnsi"/>
          <w:sz w:val="24"/>
          <w:szCs w:val="24"/>
        </w:rPr>
      </w:pPr>
    </w:p>
    <w:p w14:paraId="292D9D60" w14:textId="77777777" w:rsidR="000740A7" w:rsidRDefault="000740A7" w:rsidP="00967145">
      <w:pPr>
        <w:pStyle w:val="BodyTextIndent2"/>
        <w:ind w:left="0" w:firstLine="720"/>
        <w:rPr>
          <w:rFonts w:asciiTheme="minorHAnsi" w:hAnsiTheme="minorHAnsi"/>
          <w:sz w:val="24"/>
          <w:szCs w:val="24"/>
        </w:rPr>
      </w:pPr>
    </w:p>
    <w:p w14:paraId="1FCE9BC6" w14:textId="77777777" w:rsidR="000740A7" w:rsidRPr="000740A7" w:rsidRDefault="000740A7" w:rsidP="00967145">
      <w:pPr>
        <w:pStyle w:val="BodyTextIndent2"/>
        <w:ind w:left="0" w:firstLine="720"/>
        <w:rPr>
          <w:rFonts w:asciiTheme="minorHAnsi" w:hAnsiTheme="minorHAnsi"/>
          <w:sz w:val="24"/>
          <w:szCs w:val="24"/>
        </w:rPr>
      </w:pPr>
    </w:p>
    <w:p w14:paraId="06C99E44" w14:textId="1A104239" w:rsidR="00967145" w:rsidRPr="000740A7" w:rsidRDefault="000740A7" w:rsidP="000740A7">
      <w:pPr>
        <w:jc w:val="center"/>
        <w:rPr>
          <w:rFonts w:ascii="Arial" w:hAnsi="Arial" w:cs="Arial"/>
          <w:sz w:val="16"/>
          <w:szCs w:val="16"/>
        </w:rPr>
      </w:pPr>
      <w:r w:rsidRPr="000740A7">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967145" w:rsidRPr="0007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1" w15:restartNumberingAfterBreak="0">
    <w:nsid w:val="3C0C68CD"/>
    <w:multiLevelType w:val="hybridMultilevel"/>
    <w:tmpl w:val="854E803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num w:numId="1" w16cid:durableId="144786193">
    <w:abstractNumId w:val="0"/>
  </w:num>
  <w:num w:numId="2" w16cid:durableId="1538277540">
    <w:abstractNumId w:val="2"/>
  </w:num>
  <w:num w:numId="3" w16cid:durableId="94538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AcYaFbmmh6gT9dVygXJNTBXS5HQ8mPrqZI6L1LKDSom2/zDn7K/cQdb2buuvrk/41KiPUUIMTib20N+pPJ0/w==" w:salt="BRAE5vqbRF3tm4yiCvyT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1D"/>
    <w:rsid w:val="000740A7"/>
    <w:rsid w:val="000E4876"/>
    <w:rsid w:val="0015651D"/>
    <w:rsid w:val="004854C4"/>
    <w:rsid w:val="005B34CB"/>
    <w:rsid w:val="00887195"/>
    <w:rsid w:val="00967145"/>
    <w:rsid w:val="00BB5EB0"/>
    <w:rsid w:val="00BF1FC4"/>
    <w:rsid w:val="00C12B5C"/>
    <w:rsid w:val="00CF512C"/>
    <w:rsid w:val="00F1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FE81"/>
  <w15:chartTrackingRefBased/>
  <w15:docId w15:val="{4D861F9A-834F-4F9D-8888-18D9224D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6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56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51D"/>
    <w:rPr>
      <w:rFonts w:eastAsiaTheme="majorEastAsia" w:cstheme="majorBidi"/>
      <w:color w:val="272727" w:themeColor="text1" w:themeTint="D8"/>
    </w:rPr>
  </w:style>
  <w:style w:type="paragraph" w:styleId="Title">
    <w:name w:val="Title"/>
    <w:basedOn w:val="Normal"/>
    <w:next w:val="Normal"/>
    <w:link w:val="TitleChar"/>
    <w:qFormat/>
    <w:rsid w:val="00156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51D"/>
    <w:pPr>
      <w:spacing w:before="160"/>
      <w:jc w:val="center"/>
    </w:pPr>
    <w:rPr>
      <w:i/>
      <w:iCs/>
      <w:color w:val="404040" w:themeColor="text1" w:themeTint="BF"/>
    </w:rPr>
  </w:style>
  <w:style w:type="character" w:customStyle="1" w:styleId="QuoteChar">
    <w:name w:val="Quote Char"/>
    <w:basedOn w:val="DefaultParagraphFont"/>
    <w:link w:val="Quote"/>
    <w:uiPriority w:val="29"/>
    <w:rsid w:val="0015651D"/>
    <w:rPr>
      <w:i/>
      <w:iCs/>
      <w:color w:val="404040" w:themeColor="text1" w:themeTint="BF"/>
    </w:rPr>
  </w:style>
  <w:style w:type="paragraph" w:styleId="ListParagraph">
    <w:name w:val="List Paragraph"/>
    <w:basedOn w:val="Normal"/>
    <w:uiPriority w:val="34"/>
    <w:qFormat/>
    <w:rsid w:val="0015651D"/>
    <w:pPr>
      <w:ind w:left="720"/>
      <w:contextualSpacing/>
    </w:pPr>
  </w:style>
  <w:style w:type="character" w:styleId="IntenseEmphasis">
    <w:name w:val="Intense Emphasis"/>
    <w:basedOn w:val="DefaultParagraphFont"/>
    <w:uiPriority w:val="21"/>
    <w:qFormat/>
    <w:rsid w:val="0015651D"/>
    <w:rPr>
      <w:i/>
      <w:iCs/>
      <w:color w:val="0F4761" w:themeColor="accent1" w:themeShade="BF"/>
    </w:rPr>
  </w:style>
  <w:style w:type="paragraph" w:styleId="IntenseQuote">
    <w:name w:val="Intense Quote"/>
    <w:basedOn w:val="Normal"/>
    <w:next w:val="Normal"/>
    <w:link w:val="IntenseQuoteChar"/>
    <w:uiPriority w:val="30"/>
    <w:qFormat/>
    <w:rsid w:val="00156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51D"/>
    <w:rPr>
      <w:i/>
      <w:iCs/>
      <w:color w:val="0F4761" w:themeColor="accent1" w:themeShade="BF"/>
    </w:rPr>
  </w:style>
  <w:style w:type="character" w:styleId="IntenseReference">
    <w:name w:val="Intense Reference"/>
    <w:basedOn w:val="DefaultParagraphFont"/>
    <w:uiPriority w:val="32"/>
    <w:qFormat/>
    <w:rsid w:val="0015651D"/>
    <w:rPr>
      <w:b/>
      <w:bCs/>
      <w:smallCaps/>
      <w:color w:val="0F4761" w:themeColor="accent1" w:themeShade="BF"/>
      <w:spacing w:val="5"/>
    </w:rPr>
  </w:style>
  <w:style w:type="paragraph" w:styleId="BodyTextIndent2">
    <w:name w:val="Body Text Indent 2"/>
    <w:basedOn w:val="Normal"/>
    <w:link w:val="BodyTextIndent2Char"/>
    <w:rsid w:val="0015651D"/>
    <w:pPr>
      <w:spacing w:after="0" w:line="240" w:lineRule="auto"/>
      <w:ind w:left="2880" w:hanging="720"/>
      <w:jc w:val="both"/>
    </w:pPr>
    <w:rPr>
      <w:rFonts w:ascii="Arial" w:eastAsia="Times New Roman" w:hAnsi="Arial" w:cs="Times New Roman"/>
      <w:kern w:val="0"/>
      <w:sz w:val="28"/>
      <w:szCs w:val="20"/>
      <w14:ligatures w14:val="none"/>
    </w:rPr>
  </w:style>
  <w:style w:type="character" w:customStyle="1" w:styleId="BodyTextIndent2Char">
    <w:name w:val="Body Text Indent 2 Char"/>
    <w:basedOn w:val="DefaultParagraphFont"/>
    <w:link w:val="BodyTextIndent2"/>
    <w:rsid w:val="0015651D"/>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962</Characters>
  <Application>Microsoft Office Word</Application>
  <DocSecurity>8</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4</cp:revision>
  <dcterms:created xsi:type="dcterms:W3CDTF">2024-12-18T15:26:00Z</dcterms:created>
  <dcterms:modified xsi:type="dcterms:W3CDTF">2024-12-18T15:27:00Z</dcterms:modified>
</cp:coreProperties>
</file>